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07.09.2022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 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Gmina Miłkowice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ul. Wojska Polskiego 71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59-222 Miłkowice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    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Dotyczy postępowania: </w:t>
      </w:r>
      <w:r>
        <w:rPr>
          <w:rFonts w:eastAsia="Calibri" w:cs="Tahoma" w:ascii="Cambria" w:hAnsi="Cambria"/>
          <w:b/>
          <w:bCs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="Calibri" w:cs="Calibri" w:ascii="Cambria" w:hAnsi="Cambria" w:cstheme="minorHAnsi"/>
          <w:b/>
          <w:bCs/>
          <w:color w:val="000000" w:themeColor="text1"/>
          <w:sz w:val="22"/>
          <w:szCs w:val="22"/>
          <w:u w:val="none"/>
          <w:lang w:eastAsia="en-US"/>
        </w:rPr>
        <w:t>Zakup i sukcesywna dostawa opału (węgla kamiennego „orzech”, ekogroszku) dla Urzędu Gminy Miłkowice, świetlic wiejskich  oraz gminnych jednostek organizacyjnych na sezon grzewczy 2022/2023r z możliwością ofert częściowych.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1129), zamawiający informuje, że w postępowaniu wpłynęł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a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następując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a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ofert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a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:</w:t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7"/>
        <w:gridCol w:w="2"/>
        <w:gridCol w:w="1980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7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cs="Arial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bCs/>
                <w:kern w:val="0"/>
                <w:sz w:val="24"/>
                <w:szCs w:val="24"/>
                <w:lang w:val="pl-PL" w:eastAsia="en-US" w:bidi="ar-SA"/>
              </w:rPr>
              <w:t>Węglopasz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Piątkowska 149/6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60-648 Poznań</w:t>
            </w:r>
          </w:p>
        </w:tc>
        <w:tc>
          <w:tcPr>
            <w:tcW w:w="198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Część 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269 923,50 złotych brutto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Cześć II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249 628,50 złotych brutto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Część III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317 709,00 złotych brutto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Część IV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 w:val="false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204 241,50 złotych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LibreOffice/7.0.0.3$Windows_X86_64 LibreOffice_project/8061b3e9204bef6b321a21033174034a5e2ea88e</Application>
  <Pages>1</Pages>
  <Words>126</Words>
  <Characters>781</Characters>
  <CharactersWithSpaces>895</CharactersWithSpaces>
  <Paragraphs>26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2022-09-01T12:24:14Z</cp:lastPrinted>
  <dcterms:modified xsi:type="dcterms:W3CDTF">2022-09-07T10:18:28Z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