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Załącznik Nr 1 do Zarządzenia Nr </w:t>
      </w:r>
      <w:r>
        <w:rPr>
          <w:rFonts w:ascii="Century Gothic" w:hAnsi="Century Gothic"/>
          <w:sz w:val="22"/>
          <w:szCs w:val="22"/>
        </w:rPr>
        <w:t>135/2022</w:t>
      </w:r>
    </w:p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Wójta Gminy Miłkowice z  dnia </w:t>
      </w:r>
      <w:r>
        <w:rPr>
          <w:rFonts w:ascii="Century Gothic" w:hAnsi="Century Gothic"/>
          <w:sz w:val="22"/>
          <w:szCs w:val="22"/>
        </w:rPr>
        <w:t>12 grudnia 2022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Arial" w:ascii="Century Gothic" w:hAnsi="Century Gothic"/>
          <w:color w:val="000000"/>
          <w:sz w:val="28"/>
          <w:szCs w:val="28"/>
        </w:rPr>
        <w:t>OGŁOSZENIE WÓJTA GMINY MIŁKOWICE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Arial" w:ascii="Century Gothic" w:hAnsi="Century Gothic"/>
          <w:color w:val="000000"/>
          <w:sz w:val="28"/>
          <w:szCs w:val="28"/>
        </w:rPr>
        <w:t>O OTWARTYM KONKURSIE OFERT</w:t>
      </w:r>
      <w:r>
        <w:rPr>
          <w:rFonts w:cs="Arial" w:ascii="Century Gothic" w:hAnsi="Century Gothic"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 xml:space="preserve">NA REALIZACJĘ ZADANIA PUBLICZNEGO </w:t>
      </w:r>
    </w:p>
    <w:p>
      <w:pPr>
        <w:pStyle w:val="Normal"/>
        <w:spacing w:lineRule="auto" w:line="240"/>
        <w:jc w:val="center"/>
        <w:rPr>
          <w:rFonts w:ascii="Century Gothic" w:hAnsi="Century Gothic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  <w:t>W ZAKRESIE  UPOWSZECHNIANIA KULTURY FIZYCZNEJ I SPORTU W 20</w:t>
      </w:r>
      <w:r>
        <w:rPr>
          <w:rFonts w:cs="Arial" w:ascii="Century Gothic" w:hAnsi="Century Gothic"/>
          <w:b/>
          <w:sz w:val="28"/>
          <w:szCs w:val="28"/>
        </w:rPr>
        <w:t>23</w:t>
      </w:r>
      <w:r>
        <w:rPr>
          <w:rFonts w:cs="Arial" w:ascii="Century Gothic" w:hAnsi="Century Gothic"/>
          <w:b/>
          <w:sz w:val="28"/>
          <w:szCs w:val="28"/>
        </w:rPr>
        <w:t xml:space="preserve"> ROKU</w:t>
      </w:r>
    </w:p>
    <w:p>
      <w:pPr>
        <w:pStyle w:val="Normal"/>
        <w:spacing w:lineRule="auto" w:line="240"/>
        <w:jc w:val="center"/>
        <w:rPr>
          <w:rFonts w:ascii="Century Gothic" w:hAnsi="Century Gothic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 w:cs="Arial"/>
          <w:b/>
          <w:b/>
          <w:bCs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>PODSTAWA PRAWNA</w:t>
      </w:r>
    </w:p>
    <w:p>
      <w:pPr>
        <w:pStyle w:val="NormalWeb"/>
        <w:spacing w:lineRule="auto" w:line="240" w:before="0" w:after="0"/>
        <w:ind w:left="0" w:right="0" w:hanging="284"/>
        <w:rPr>
          <w:rFonts w:ascii="Century Gothic" w:hAnsi="Century Gothic" w:cs="Arial"/>
        </w:rPr>
      </w:pPr>
      <w:r>
        <w:rPr>
          <w:rFonts w:cs="Arial" w:ascii="Century Gothic" w:hAnsi="Century Gothic"/>
        </w:rPr>
        <w:tab/>
        <w:t>Konkurs ogłoszony jest na podstawie:</w:t>
      </w:r>
    </w:p>
    <w:p>
      <w:pPr>
        <w:pStyle w:val="NormalWeb"/>
        <w:spacing w:lineRule="auto" w:line="240" w:before="0" w:after="0"/>
        <w:rPr/>
      </w:pPr>
      <w:r>
        <w:rPr>
          <w:rFonts w:cs="Arial" w:ascii="Century Gothic" w:hAnsi="Century Gothic"/>
        </w:rPr>
        <w:t xml:space="preserve">Ustawy z dnia 24 kwietnia 2003 roku o działalności pożytku publicznego i o wolontariacie </w:t>
      </w:r>
      <w:r>
        <w:rPr>
          <w:rFonts w:ascii="Century Gothic" w:hAnsi="Century Gothic"/>
        </w:rPr>
        <w:t>(</w:t>
      </w:r>
      <w:r>
        <w:rPr>
          <w:rFonts w:cs="Arial" w:ascii="Century Gothic" w:hAnsi="Century Gothic"/>
        </w:rPr>
        <w:t>t.j. Dz. U. z 202</w:t>
      </w:r>
      <w:r>
        <w:rPr>
          <w:rFonts w:cs="Arial" w:ascii="Century Gothic" w:hAnsi="Century Gothic"/>
        </w:rPr>
        <w:t>2</w:t>
      </w:r>
      <w:r>
        <w:rPr>
          <w:rFonts w:cs="Arial" w:ascii="Century Gothic" w:hAnsi="Century Gothic"/>
        </w:rPr>
        <w:t xml:space="preserve"> r., poz. </w:t>
      </w:r>
      <w:r>
        <w:rPr>
          <w:rFonts w:cs="Arial" w:ascii="Century Gothic" w:hAnsi="Century Gothic"/>
        </w:rPr>
        <w:t>1327</w:t>
      </w:r>
      <w:r>
        <w:rPr>
          <w:rFonts w:cs="Arial" w:ascii="Century Gothic" w:hAnsi="Century Gothic"/>
        </w:rPr>
        <w:t xml:space="preserve"> ze zm.</w:t>
      </w:r>
      <w:r>
        <w:rPr>
          <w:rFonts w:ascii="Century Gothic" w:hAnsi="Century Gothic"/>
        </w:rPr>
        <w:t xml:space="preserve">), Uchwały Rady Gminy Miłkowice Nr </w:t>
      </w:r>
      <w:r>
        <w:rPr>
          <w:rFonts w:ascii="Century Gothic" w:hAnsi="Century Gothic"/>
        </w:rPr>
        <w:t>XLIX</w:t>
      </w:r>
      <w:r>
        <w:rPr>
          <w:rFonts w:ascii="Century Gothic" w:hAnsi="Century Gothic"/>
        </w:rPr>
        <w:t>/</w:t>
      </w:r>
      <w:r>
        <w:rPr>
          <w:rFonts w:ascii="Century Gothic" w:hAnsi="Century Gothic"/>
        </w:rPr>
        <w:t>324</w:t>
      </w:r>
      <w:r>
        <w:rPr>
          <w:rFonts w:ascii="Century Gothic" w:hAnsi="Century Gothic"/>
        </w:rPr>
        <w:t>/202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z dnia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października</w:t>
      </w:r>
      <w:r>
        <w:rPr>
          <w:rFonts w:ascii="Century Gothic" w:hAnsi="Century Gothic"/>
        </w:rPr>
        <w:t xml:space="preserve"> 202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r. </w:t>
      </w:r>
      <w:r>
        <w:rPr>
          <w:rFonts w:cs="Arial" w:ascii="Century Gothic" w:hAnsi="Century Gothic"/>
        </w:rPr>
        <w:t>w sprawie przyjęcia "Programu współpracy Gminy Miłkowice z organizacjami pozarządowymi oraz podmiotami, o których mowa w art. 3 ust. 3 ustawy z dnia 24 kwietnia 2003 r. o działalności pożytku publicznego i o wolontariacie na rok 202</w:t>
      </w:r>
      <w:r>
        <w:rPr>
          <w:rFonts w:cs="Arial" w:ascii="Century Gothic" w:hAnsi="Century Gothic"/>
        </w:rPr>
        <w:t>3</w:t>
      </w:r>
      <w:r>
        <w:rPr>
          <w:rFonts w:cs="Arial" w:ascii="Century Gothic" w:hAnsi="Century Gothic"/>
        </w:rPr>
        <w:t>".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ADRESACI KONKURSU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color w:val="000000"/>
        </w:rPr>
        <w:t>Konkurs adresowany jest do organizacji pozarządowych oraz podmiotów, wymienionych w art. 3 ust. 3 ustawy z dnia 24 kwietnia 2003 r. o działalności pożytku publicznego i wolontariatu (</w:t>
      </w:r>
      <w:r>
        <w:rPr>
          <w:rFonts w:cs="Arial" w:ascii="Century Gothic" w:hAnsi="Century Gothic"/>
        </w:rPr>
        <w:t>t.j. Dz. U. z 202</w:t>
      </w:r>
      <w:r>
        <w:rPr>
          <w:rFonts w:cs="Arial" w:ascii="Century Gothic" w:hAnsi="Century Gothic"/>
        </w:rPr>
        <w:t>2</w:t>
      </w:r>
      <w:r>
        <w:rPr>
          <w:rFonts w:cs="Arial" w:ascii="Century Gothic" w:hAnsi="Century Gothic"/>
        </w:rPr>
        <w:t xml:space="preserve"> r., poz. 1</w:t>
      </w:r>
      <w:r>
        <w:rPr>
          <w:rFonts w:cs="Arial" w:ascii="Century Gothic" w:hAnsi="Century Gothic"/>
        </w:rPr>
        <w:t>327</w:t>
      </w:r>
      <w:r>
        <w:rPr>
          <w:rFonts w:cs="Arial" w:ascii="Century Gothic" w:hAnsi="Century Gothic"/>
        </w:rPr>
        <w:t xml:space="preserve"> ze zm.</w:t>
      </w:r>
      <w:r>
        <w:rPr>
          <w:rFonts w:ascii="Century Gothic" w:hAnsi="Century Gothic"/>
          <w:color w:val="000000"/>
        </w:rPr>
        <w:t>), prowadzących działalność pożytku publicznego odpowiednio do terytorialnego zakresu działania Gminy Miłkowice, niedziałających w celu osiągnięcia zysku oraz których działalność statutowa zgodna jest z dziedziną zlecanego zadania.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BENEFICJENCI KONKURSU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bCs/>
        </w:rPr>
        <w:t>Mieszkańcy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gminy Miłkowice, a przede wszystkim dzieci i młodzież oraz członkowie drużyn, zespołów klubów działających na obszarze gminy Miłkowice.</w:t>
      </w:r>
    </w:p>
    <w:p>
      <w:pPr>
        <w:pStyle w:val="NormalWeb"/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FORMA REALIZACJI ZADANIA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Wsparcie zadania publicznego.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RODZAJ ZADANIA</w:t>
      </w:r>
    </w:p>
    <w:p>
      <w:pPr>
        <w:pStyle w:val="Normal"/>
        <w:spacing w:lineRule="auto" w:line="240"/>
        <w:ind w:left="57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 zakresie upowszechniania kultury fizycznej i sportu:</w:t>
      </w:r>
    </w:p>
    <w:p>
      <w:pPr>
        <w:pStyle w:val="NormalWeb"/>
        <w:spacing w:lineRule="auto" w:line="240" w:before="0" w:after="0"/>
        <w:ind w:left="181" w:right="0" w:hanging="181"/>
        <w:rPr/>
      </w:pPr>
      <w:r>
        <w:rPr>
          <w:rFonts w:ascii="Century Gothic" w:hAnsi="Century Gothic"/>
        </w:rPr>
        <w:t xml:space="preserve">a ) </w:t>
      </w:r>
      <w:r>
        <w:rPr>
          <w:rFonts w:ascii="Century Gothic" w:hAnsi="Century Gothic"/>
          <w:b/>
        </w:rPr>
        <w:t>w piłce nożnej na terenie Gminy Miłkowice wraz z utrzymaniem bazy sportowej,</w:t>
      </w:r>
      <w:r>
        <w:rPr>
          <w:rFonts w:ascii="Century Gothic" w:hAnsi="Century Gothic"/>
        </w:rPr>
        <w:t xml:space="preserve"> poprzez :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organizowanie zawodów oraz imprez sportowych o zasięgu lokalnym i ponadlokalnym,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udział w zawodach w ramach współzawodnictwa sportowego,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prowadzenie szkolenia i zajęć treningowych oraz obozów sportowych,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promowanie sportu i rekreacji ruchowej wśród dzieci i młodzieży oraz osób dorosłych poprzez organizację zajęć i działań sportowych oraz wspieranie rozwoju utrzymanie bazy sportowej,</w:t>
      </w:r>
    </w:p>
    <w:p>
      <w:pPr>
        <w:pStyle w:val="NormalWeb"/>
        <w:spacing w:lineRule="auto" w:line="240" w:before="0" w:after="0"/>
        <w:ind w:left="180" w:right="0" w:hanging="180"/>
        <w:rPr/>
      </w:pPr>
      <w:r>
        <w:rPr>
          <w:rFonts w:ascii="Century Gothic" w:hAnsi="Century Gothic"/>
        </w:rPr>
        <w:t xml:space="preserve">b)  </w:t>
      </w:r>
      <w:r>
        <w:rPr>
          <w:rFonts w:ascii="Century Gothic" w:hAnsi="Century Gothic"/>
          <w:b/>
        </w:rPr>
        <w:t>w brydżu sportowym,</w:t>
      </w:r>
      <w:r>
        <w:rPr>
          <w:rFonts w:ascii="Century Gothic" w:hAnsi="Century Gothic"/>
        </w:rPr>
        <w:t xml:space="preserve"> poprzez :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prowadzenie szkoleń oraz obozów szkoleniowych,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organizowanie turniejów oraz imprez brydżowych o zasięgu lokalnym, rejonowym, wojewódzkim,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udział w turniejach i imprezach brydżowych szczebla międzywojewódzkiego, ogólnopolskiego,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udział w zjazdach ligowych,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udział w zgrupowaniach kadry narodowej (indywidualnie i drużynowo).</w:t>
      </w:r>
    </w:p>
    <w:p>
      <w:pPr>
        <w:pStyle w:val="NormalWeb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CEL REALIZACJI ZADANIA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Szkolenie i działania sportowe, mające na celu podniesienie poziomu wyszkolenia w piłce nożnej i brydżu sportowym.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Wspieranie rozwoju młodych talentów.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Utrwalanie uniwersalnych wartości związanych z systematycznym udziałem w zorganizowanej rywalizacji sportowej jako powszechnych wzorców społecznych.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Wzrost liczby osób uczestniczących w sposób zorganizowany w stałym systemie szkolenia i współzawodnictwa sportowego na terenie Gminy Miłkowice.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Promowanie aktywnych form spędzania czasu wolnego.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Zwiększenie dostępności społeczności lokalnej do działalności sportowej prowadzonej przez kluby sportowe na terenie Gminy Miłkowice.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Poprawa warunków uprawiania sportu (utrzymanie bazy sportowej w dobrej kulturze i nienagannym stanie).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 tym, w brydżu sportowym również: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Rozpowszechnianie i rozwój brydża sportowego.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Wysokie wyniki sportowe osiągane w drodze rywalizacji na wszelkich poziomach krajowych i międzynarodowych.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Wzmocnienie roli Gminy Miłkowice, jako ważnego ośrodka gier logicznych i klubu, który łączy pokolenia.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Przykładowe oczekiwane rezultaty i ich udokumentowanie: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prowadzenie zajęć, treningów, szkoleń (liczba zajęć/godzin) - lista uczestników, lista zawodników, dziennik zajęć,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organizacja i udział w zawodach sportowych (liczba/szt.) - licencje zawodnicze, listy zgłoszeń, dyplomy, zdjęcia,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udział w turniejach (liczba/szt.) - lista zawodników, tabela wyników, zdjęcia,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poprawa wyników sportowych (np. punkty) - tabele wyników,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podniesienie umiejętności zawodników - np. wyniki testów sprawnościowych na początku i na końcu szkoleń,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- propagowanie aktywności ruchowej (liczba imprez) - kalendarz zaplanowanych imprez, ankiety mierzące zadowolenie uczestników, zdjęcia,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-promocja sportu i Gminy Miłkowice - artykuły prasowe, facebook, reklama. </w:t>
      </w:r>
    </w:p>
    <w:p>
      <w:pPr>
        <w:pStyle w:val="NormalWeb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ind w:left="0" w:right="0" w:hanging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TERMIN REALIZACJI ZADANIA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Realizacja zadania przewidziana jest na okres </w:t>
      </w:r>
      <w:r>
        <w:rPr>
          <w:rFonts w:ascii="Century Gothic" w:hAnsi="Century Gothic"/>
          <w:b/>
          <w:color w:val="000000"/>
        </w:rPr>
        <w:t>od dnia podpisania umowy</w:t>
      </w:r>
      <w:r>
        <w:rPr>
          <w:rFonts w:ascii="Century Gothic" w:hAnsi="Century Gothic"/>
          <w:color w:val="000000"/>
        </w:rPr>
        <w:t xml:space="preserve"> do dnia </w:t>
      </w:r>
      <w:r>
        <w:rPr>
          <w:rFonts w:ascii="Century Gothic" w:hAnsi="Century Gothic"/>
          <w:b/>
          <w:color w:val="000000"/>
        </w:rPr>
        <w:t>31.12.</w:t>
      </w:r>
      <w:r>
        <w:rPr>
          <w:rFonts w:ascii="Century Gothic" w:hAnsi="Century Gothic"/>
          <w:b/>
          <w:color w:val="000000"/>
        </w:rPr>
        <w:t>2023</w:t>
      </w:r>
      <w:r>
        <w:rPr>
          <w:rFonts w:ascii="Century Gothic" w:hAnsi="Century Gothic"/>
          <w:b/>
          <w:color w:val="000000"/>
        </w:rPr>
        <w:t xml:space="preserve"> r.</w:t>
      </w:r>
    </w:p>
    <w:p>
      <w:pPr>
        <w:pStyle w:val="NormalWeb"/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MIEJSCE REALIZACJI ZADANIA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Teren gminy Miłkowice oraz inne miejsca na terenie Polski i Europy związane z uczestnictwem w meczach ligowych i sparingowych oraz w obozach szkoleniowych, turniejach czy zgrupowaniach.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ŚRODKI PRZEZNACZONE NA REALIZACJĘ ZADANIA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Century Gothic" w:hAnsi="Century Gothic"/>
        </w:rPr>
        <w:t>Na realizację zadania w 202</w:t>
      </w: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r. przeznacza się kwotę </w:t>
      </w:r>
      <w:r>
        <w:rPr>
          <w:rFonts w:ascii="Century Gothic" w:hAnsi="Century Gothic"/>
          <w:b/>
        </w:rPr>
        <w:t>150.000,00 zł</w:t>
      </w:r>
      <w:r>
        <w:rPr>
          <w:rFonts w:cs="Arial" w:ascii="Century Gothic" w:hAnsi="Century Gothic"/>
          <w:b/>
        </w:rPr>
        <w:t xml:space="preserve">otych - </w:t>
      </w:r>
      <w:r>
        <w:rPr>
          <w:rFonts w:cs="Arial" w:ascii="Century Gothic" w:hAnsi="Century Gothic"/>
        </w:rPr>
        <w:t>zgodnie z projektem uchwały budżetowej Gminy Miłkowice na 2022 r.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Century Gothic" w:hAnsi="Century Gothic"/>
        </w:rPr>
        <w:t>Na wsparcie w realizacji zadnia w zakresie upowszechniania kultury fizycznej i sportu w gminie Miłkowice w roku 202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r. wydatkowano kwotę 1</w:t>
      </w:r>
      <w:r>
        <w:rPr>
          <w:rFonts w:ascii="Century Gothic" w:hAnsi="Century Gothic"/>
        </w:rPr>
        <w:t>50</w:t>
      </w:r>
      <w:r>
        <w:rPr>
          <w:rFonts w:ascii="Century Gothic" w:hAnsi="Century Gothic"/>
        </w:rPr>
        <w:t>.000,00 złotych.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Century Gothic" w:hAnsi="Century Gothic"/>
        </w:rPr>
        <w:t>Na wsparcie w realizacji zadnia w zakresie upowszechniania kultury fizycznej i sportu w gminie Miłkowice w roku 202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r. wydatkowano kwotę 10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.000,00 złotych.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Century Gothic" w:hAnsi="Century Gothic"/>
        </w:rPr>
        <w:t>Wykaz wszystkich podmiotów wraz z nazwami ofert, które otrzymały dotacje w roku 202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i w roku 202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na zadania publiczne z zakresu wspierania i upowszechniania kultury fizycznej stanowi załącznik nr 5 do ogłoszenia.</w:t>
      </w:r>
    </w:p>
    <w:p>
      <w:pPr>
        <w:pStyle w:val="Normal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OGÓLNE WARUNKI REALIZACJI ZADANIA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Realizatorem zadania może być wyłącznie organizacja, która prowadzi działalność statutową związaną z realizacją zadania objętego konkursem.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/>
      </w:pPr>
      <w:r>
        <w:rPr>
          <w:rFonts w:ascii="Century Gothic" w:hAnsi="Century Gothic"/>
          <w:b/>
          <w:bCs/>
        </w:rPr>
        <w:t xml:space="preserve">Realizatorem zadania może być oferent, który posiada doświadczenie i dysponuje wykwalifikowaną kadrą uczestniczącą   w   realizacji   zadania   </w:t>
      </w:r>
      <w:r>
        <w:rPr>
          <w:rFonts w:ascii="Century Gothic" w:hAnsi="Century Gothic"/>
        </w:rPr>
        <w:t xml:space="preserve">tzn.   osoby   prowadzące   szkolenie   muszą   posiadać obowiązkowo kwalifikację instruktora lub trenera w danej dyscyplinie z ważną licencją właściwego związku sportowego. 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/>
      </w:pPr>
      <w:r>
        <w:rPr>
          <w:rFonts w:ascii="Century Gothic" w:hAnsi="Century Gothic"/>
        </w:rPr>
        <w:t xml:space="preserve">W sytuacji, gdy oferent wnosi do realizacji zadania wkład w postaci </w:t>
      </w:r>
      <w:r>
        <w:rPr>
          <w:rFonts w:ascii="Century Gothic" w:hAnsi="Century Gothic"/>
          <w:b/>
          <w:bCs/>
        </w:rPr>
        <w:t xml:space="preserve">świadczenia pracy wolontariuszy/pracy społecznej członków </w:t>
      </w:r>
      <w:r>
        <w:rPr>
          <w:rFonts w:ascii="Century Gothic" w:hAnsi="Century Gothic"/>
        </w:rPr>
        <w:t>organizacji koniecznie jest przestrzeganie następujących warunków: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zakres, sposób i liczba godzin wykonywania pracy przez wolontariusza muszą być określone w porozumieniu zawartym zgodnie z art. 44 ustawy o działalności pożytku publicznego i o wolontariacie;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wolontariusz/członek organizacji musi prowadzić na bieżąco karty pracy wraz z opisem wykonywanej pracy (dokumentacja ta musi być przechowywana na zasadach ogólnych, tak jak dokumenty finansowe);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/>
      </w:pPr>
      <w:r>
        <w:rPr>
          <w:rFonts w:ascii="Century Gothic" w:hAnsi="Century Gothic"/>
        </w:rPr>
        <w:t xml:space="preserve">w przypadku, gdy praca wolontariusza/członka organizacji </w:t>
      </w:r>
      <w:r>
        <w:rPr>
          <w:rFonts w:ascii="Century Gothic" w:hAnsi="Century Gothic"/>
          <w:b/>
          <w:bCs/>
        </w:rPr>
        <w:t xml:space="preserve">ze względu na wykazaną w ofercie specyfikę </w:t>
      </w:r>
      <w:r>
        <w:rPr>
          <w:rFonts w:ascii="Century Gothic" w:hAnsi="Century Gothic"/>
        </w:rPr>
        <w:t>nie może być rozliczana godzinowo - należy podać sposób wyliczenia nakładu jego pracy i sposób jej dokumentowania w trakcie realizacji zadania;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wolontariusz/członek organizacji powinien posiadać kwalifikacje i spełniać wymagania odpowiednie do rodzaju i zakresu wykonywanych świadczeń, jeżeli obowiązek posiadania takich kwalifikacji i spełnienia stosownych wymagań wynika z odrębnych przepisów;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jeżeli wolontariusz/członek organizacji wykonuje pracę taką, jak stały personel, to kalkulacja wkładu pracy wolontariusza musi być dokonana w oparciu o stawki obowiązujące dla tego personelu;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wolontariuszem nie może być beneficjent ostateczny zadania ani osoba zatrudniona u oferenta na podstawie umowy o pracę lub umowy cywilnoprawnej, w ramach spełniania obowiązków z tych umów wynikających (warunek ten dotyczy także członków organizacji świadczących pracę społeczną).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Oferent wnioskujący jest bezpośrednim realizatorem zadania.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Szczegółowe i ostateczne warunki realizacji, finansowania i rozliczania zadania regulować będzie umowa zawarta pomiędzy wyłonionym oferentem, a Gminą Miłkowice.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Zadanie winno być realizowane z najwyższą starannością, zgodnie z zawartą umową oraz z obowiązującymi standardami i przepisami, w zakresie opisanym w ofercie.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Dotacja na realizację zadania z budżetu Gminy Miłkowice, nie może być wykorzystana na zobowiązania powstałe przed datą podpisania umowy i po jej zakończeniu.</w:t>
      </w:r>
    </w:p>
    <w:p>
      <w:pPr>
        <w:pStyle w:val="ListParagraph"/>
        <w:numPr>
          <w:ilvl w:val="0"/>
          <w:numId w:val="6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Kontroli podlegają wszystkie dokumenty merytoryczne i finansowe, niezbędne do oceny zasadności wykorzystania środków publicznych i realizowania zadania zgodnie  umowa.</w:t>
      </w:r>
    </w:p>
    <w:p>
      <w:pPr>
        <w:pStyle w:val="Normal"/>
        <w:numPr>
          <w:ilvl w:val="0"/>
          <w:numId w:val="6"/>
        </w:numPr>
        <w:shd w:fill="FFFFFF" w:val="clear"/>
        <w:suppressAutoHyphens w:val="false"/>
        <w:spacing w:lineRule="auto" w:line="240" w:before="0" w:after="0"/>
        <w:rPr/>
      </w:pPr>
      <w:r>
        <w:rPr>
          <w:rFonts w:cs="Arial" w:ascii="Century Gothic" w:hAnsi="Century Gothic"/>
          <w:color w:val="212529"/>
          <w:lang w:eastAsia="pl-PL"/>
        </w:rPr>
        <w:t>Oferent zobowiązany będzie podczas realizacji zleconego zadania publicznego, do zapewnienia dostępności architektonicznej i/lub informacyjno-komunikacyjnej osobom ze szczególnymi potrzebami na poziomie minimalnych wymagań, określonych w art. 6-7 ustawy z dnia 19 lipca 2019r. o zapewnianiu dostępności osobom ze szczególnymi potrzebami (Dz. U. z 202</w:t>
      </w:r>
      <w:r>
        <w:rPr>
          <w:rFonts w:cs="Arial" w:ascii="Century Gothic" w:hAnsi="Century Gothic"/>
          <w:color w:val="212529"/>
          <w:lang w:eastAsia="pl-PL"/>
        </w:rPr>
        <w:t>2</w:t>
      </w:r>
      <w:r>
        <w:rPr>
          <w:rFonts w:cs="Arial" w:ascii="Century Gothic" w:hAnsi="Century Gothic"/>
          <w:color w:val="212529"/>
          <w:lang w:eastAsia="pl-PL"/>
        </w:rPr>
        <w:t xml:space="preserve">r. poz. </w:t>
      </w:r>
      <w:r>
        <w:rPr>
          <w:rFonts w:cs="Arial" w:ascii="Century Gothic" w:hAnsi="Century Gothic"/>
          <w:color w:val="212529"/>
          <w:lang w:eastAsia="pl-PL"/>
        </w:rPr>
        <w:t>2240</w:t>
      </w:r>
      <w:r>
        <w:rPr>
          <w:rFonts w:cs="Arial" w:ascii="Century Gothic" w:hAnsi="Century Gothic"/>
          <w:color w:val="212529"/>
          <w:lang w:eastAsia="pl-PL"/>
        </w:rPr>
        <w:t>). Zapewnienie dostępności osobom ze szczególnymi potrzebami następuje, o ile to możliwe, z uwzględnieniem uniwersalnego projektowania oraz jest adekwatne do zakresu zadania.</w:t>
      </w:r>
    </w:p>
    <w:p>
      <w:pPr>
        <w:pStyle w:val="Normal"/>
        <w:numPr>
          <w:ilvl w:val="0"/>
          <w:numId w:val="6"/>
        </w:numPr>
        <w:shd w:fill="FFFFFF" w:val="clear"/>
        <w:suppressAutoHyphens w:val="false"/>
        <w:spacing w:lineRule="auto" w:line="240" w:before="0" w:after="280"/>
        <w:rPr>
          <w:rFonts w:ascii="Century Gothic" w:hAnsi="Century Gothic" w:cs="Arial"/>
          <w:color w:val="212529"/>
          <w:highlight w:val="white"/>
        </w:rPr>
      </w:pPr>
      <w:r>
        <w:rPr>
          <w:rFonts w:cs="Arial" w:ascii="Century Gothic" w:hAnsi="Century Gothic"/>
          <w:color w:val="212529"/>
          <w:highlight w:val="white"/>
        </w:rPr>
        <w:t>Podczas realizacji zadania publicznego Zleceniobiorca zobowiązany jest stosować się do obowiązujących ograniczeń i obostrzeń wynikających z obowiązującego w tym okresie na obszarze Rzeczypospolitej Polskiej stanu zagrożenia epidemicznego lub stanu epidemii.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ZASADY PRZYZNAWANIA DOTACJI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>
          <w:rFonts w:ascii="Century Gothic" w:hAnsi="Century Gothic"/>
        </w:rPr>
        <w:t>O przyznanie dofinansowania mogą ubiegać się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/>
        </w:rPr>
        <w:t>organizacje pozarządowe oraz podmioty, wymienione w art. 3 ust. 3 ustawy z dnia 24 kwietnia 2003 r. o działalności pożytku publicznego i wolontariatu (</w:t>
      </w:r>
      <w:r>
        <w:rPr>
          <w:rFonts w:cs="Arial" w:ascii="Century Gothic" w:hAnsi="Century Gothic"/>
        </w:rPr>
        <w:t xml:space="preserve">t.j. Dz. U. z </w:t>
      </w:r>
      <w:r>
        <w:rPr>
          <w:rFonts w:cs="Arial" w:ascii="Century Gothic" w:hAnsi="Century Gothic"/>
        </w:rPr>
        <w:t>2022</w:t>
      </w:r>
      <w:r>
        <w:rPr>
          <w:rFonts w:cs="Arial" w:ascii="Century Gothic" w:hAnsi="Century Gothic"/>
        </w:rPr>
        <w:t xml:space="preserve"> r., poz. 1057 ze zm.</w:t>
      </w:r>
      <w:r>
        <w:rPr>
          <w:rFonts w:ascii="Century Gothic" w:hAnsi="Century Gothic"/>
          <w:color w:val="000000"/>
        </w:rPr>
        <w:t>), prowadzące działalność pożytku publicznego odpowiednio do terytorialnego zakresu działania Gminy Miłkowice, niedziałających w celu osiągnięcia zysku oraz których działalność statutowa zgodna jest z dziedziną zlecanego zadania.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Zlecanie zadania i udzielanie dofinansowania następuje z odpowiednim zastosowaniem przepisów art. 16 ustawy o działalności pożytku publicznego i o wolontariacie.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Wójt Gminy Miłkowice przyznaje dotacje celowe na realizację zadań wyłonionym w konkursie oferentom poprzez zawarcie umowy.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Wysokość przyznanej dotacji może być mniejsza, niż wnioskowana w ofercie.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Wymagany minimalny wkład własny Oferenta (rozumiany jako wkład finansowy w realizację programu ze środków własnych i środków pochodzących z innych źródeł, w tym wkład osobowy) wynosi </w:t>
      </w:r>
      <w:r>
        <w:rPr>
          <w:rFonts w:ascii="Century Gothic" w:hAnsi="Century Gothic"/>
          <w:b/>
          <w:color w:val="000000"/>
        </w:rPr>
        <w:t>10% całkowitych kosztów zadania</w:t>
      </w:r>
      <w:r>
        <w:rPr>
          <w:rFonts w:ascii="Century Gothic" w:hAnsi="Century Gothic"/>
          <w:color w:val="000000"/>
        </w:rPr>
        <w:t xml:space="preserve">, w tym co najmniej </w:t>
      </w:r>
      <w:r>
        <w:rPr>
          <w:rFonts w:ascii="Century Gothic" w:hAnsi="Century Gothic"/>
          <w:b/>
          <w:color w:val="000000"/>
        </w:rPr>
        <w:t>5% musi stanowić wkład finansowy</w:t>
      </w:r>
      <w:r>
        <w:rPr>
          <w:rFonts w:ascii="Century Gothic" w:hAnsi="Century Gothic"/>
          <w:color w:val="000000"/>
        </w:rPr>
        <w:t xml:space="preserve"> całkowitych kosztów zadania. Oferty niezawierające wymaganego wkładu własnego nie będą rozpatrywane.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Oferent z przekazanej kwoty dotacji może maksymalnie przeznaczyć </w:t>
      </w:r>
      <w:r>
        <w:rPr>
          <w:rFonts w:ascii="Century Gothic" w:hAnsi="Century Gothic"/>
          <w:b/>
          <w:color w:val="000000"/>
        </w:rPr>
        <w:t>15%</w:t>
      </w:r>
      <w:r>
        <w:rPr>
          <w:rFonts w:ascii="Century Gothic" w:hAnsi="Century Gothic"/>
          <w:color w:val="000000"/>
        </w:rPr>
        <w:t xml:space="preserve"> na zakup wyposażenia związanego z obsługą zadania.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Szczegółowe zasady przekazywania dotacji (w całości lub w transzach) określone zostaną w zawartej umowie.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 dotacji nie będą pokrywane koszty poniesione przez zawarciem umowy i po jej zakończeniu oraz nie obejmujące okresu umowy.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Załączony do ogłoszenia ramowy wzór oferty, umowy oraz sprawozdania dostępny jest również na stronie internetowej Gminy Miłkowice oraz w Biuletynie Informacji Publicznej. Załączony do konkursu wzór umowy ma charakter ramowy i może zostać zmieniony oraz uzupełniony o zapisy, które nie są sprzeczne z niniejszym ramowym wzorem.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Dotacje nie będą przyznawane na wydatki niezwiązane bezpośrednio z realizacją zadania.</w:t>
      </w:r>
    </w:p>
    <w:p>
      <w:pPr>
        <w:pStyle w:val="NormalWeb"/>
        <w:spacing w:lineRule="auto" w:line="240" w:before="0" w:after="0"/>
        <w:ind w:left="360" w:right="0" w:hang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KOSZTY, KTÓRE MOGĄ BYĆ PONIESIONE Z DOTACJI</w:t>
      </w:r>
    </w:p>
    <w:p>
      <w:pPr>
        <w:pStyle w:val="ListParagraph"/>
        <w:numPr>
          <w:ilvl w:val="0"/>
          <w:numId w:val="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Oferent jest zobowiązany realizować zadanie zgodnie z przygotowanym przez siebie i zaakceptowanym przez Gminę Miłkowice harmonogramem i kosztorysem.</w:t>
      </w:r>
    </w:p>
    <w:p>
      <w:pPr>
        <w:pStyle w:val="ListParagraph"/>
        <w:numPr>
          <w:ilvl w:val="0"/>
          <w:numId w:val="9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Wydatki, które będą ponoszone z dotacji muszą być:</w:t>
      </w:r>
    </w:p>
    <w:p>
      <w:pPr>
        <w:pStyle w:val="Normal"/>
        <w:widowControl w:val="false"/>
        <w:numPr>
          <w:ilvl w:val="0"/>
          <w:numId w:val="10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niezbędne dla realizacji zadania objętego konkursem,</w:t>
      </w:r>
    </w:p>
    <w:p>
      <w:pPr>
        <w:pStyle w:val="Normal"/>
        <w:widowControl w:val="false"/>
        <w:numPr>
          <w:ilvl w:val="0"/>
          <w:numId w:val="10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racjonalne i efektywne oraz spełniać wymogi efektywnego zarządzania finansami (relacja nakład/rezultat),</w:t>
      </w:r>
    </w:p>
    <w:p>
      <w:pPr>
        <w:pStyle w:val="Normal"/>
        <w:widowControl w:val="false"/>
        <w:numPr>
          <w:ilvl w:val="0"/>
          <w:numId w:val="10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faktycznie poniesione w okresie realizacji zadania objętego konkursem,</w:t>
      </w:r>
    </w:p>
    <w:p>
      <w:pPr>
        <w:pStyle w:val="Normal"/>
        <w:widowControl w:val="false"/>
        <w:numPr>
          <w:ilvl w:val="0"/>
          <w:numId w:val="10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odpowiednio udokumentowane,</w:t>
      </w:r>
    </w:p>
    <w:p>
      <w:pPr>
        <w:pStyle w:val="Normal"/>
        <w:widowControl w:val="false"/>
        <w:numPr>
          <w:ilvl w:val="0"/>
          <w:numId w:val="10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zgodne z zatwierdzonym kosztorysem.</w:t>
      </w:r>
    </w:p>
    <w:p>
      <w:pPr>
        <w:pStyle w:val="ListParagraph"/>
        <w:numPr>
          <w:ilvl w:val="0"/>
          <w:numId w:val="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ofercie na realizację zadania mogą być uwzględnione następujące kategorie wydatków i procentowe limity dotacji:</w:t>
      </w:r>
    </w:p>
    <w:p>
      <w:pPr>
        <w:pStyle w:val="ListParagraph"/>
        <w:numPr>
          <w:ilvl w:val="0"/>
          <w:numId w:val="11"/>
        </w:numPr>
        <w:shd w:fill="FFFFFF" w:val="clear"/>
        <w:spacing w:lineRule="auto" w:line="240"/>
        <w:rPr/>
      </w:pPr>
      <w:r>
        <w:rPr>
          <w:rFonts w:ascii="Century Gothic" w:hAnsi="Century Gothic"/>
          <w:b/>
          <w:bCs/>
          <w:u w:val="single"/>
        </w:rPr>
        <w:t>koszty merytoryczne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Cs/>
        </w:rPr>
        <w:t>bezpośrednio związane z celem realizowanego działania</w:t>
      </w:r>
      <w:r>
        <w:rPr>
          <w:rFonts w:ascii="Century Gothic" w:hAnsi="Century Gothic"/>
          <w:bCs/>
          <w:u w:val="single"/>
        </w:rPr>
        <w:t xml:space="preserve"> </w:t>
      </w:r>
      <w:r>
        <w:rPr>
          <w:rFonts w:ascii="Century Gothic" w:hAnsi="Century Gothic"/>
          <w:bCs/>
        </w:rPr>
        <w:t>(</w:t>
      </w:r>
      <w:r>
        <w:rPr>
          <w:rFonts w:ascii="Century Gothic" w:hAnsi="Century Gothic"/>
        </w:rPr>
        <w:t>wynagrodzenia pracowników merytorycznych (trenerzy, eksperci, specjaliści), ubezpieczenia uczestników i realizatorów w zakresie niezbędnym do bezpiecznej realizacji zadania, zakup sprzętu sportowego, zakup nagród rzeczowych dla uczestników zadania, artykułów spożywczych, transport uczestników i/lub sędziów, zakwaterowanie uczestników i/lub sędziów, usługi żywieniowe uczestników i/lub sędziów, obsługi medycznej i/lub technicznej, wynajmu obiektów sportowych, obsługi sędziowskiej, koszty eksploatacyjne lokalu (czynsz, gaz, energia elektryczna, ciepła i zimna woda, ścieki, ogrzewanie, wywóz śmieci itp.), inne wynikające ze specyfiki zadania),</w:t>
      </w:r>
    </w:p>
    <w:p>
      <w:pPr>
        <w:pStyle w:val="ListParagraph"/>
        <w:numPr>
          <w:ilvl w:val="0"/>
          <w:numId w:val="11"/>
        </w:numPr>
        <w:shd w:fill="FFFFFF" w:val="clear"/>
        <w:spacing w:lineRule="auto" w:line="240"/>
        <w:rPr/>
      </w:pP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  <w:bCs/>
          <w:u w:val="single"/>
        </w:rPr>
        <w:t>oszty obsługi zadania publicznego</w:t>
      </w:r>
      <w:r>
        <w:rPr>
          <w:rFonts w:ascii="Century Gothic" w:hAnsi="Century Gothic"/>
          <w:bCs/>
        </w:rPr>
        <w:t>, w tym koszty administracyjne, są to koszty obsługi zadania, które są związane z wykonywaniem działań o charakterze administracyjnym, nadzorczym i kontrolnym, w tym obsługa finansowa i prawna zadania, np. kierowanie projektem, wykonywanie zadań administracyjnych, obsługowych, obsługa księgowa - jedynie w części odpowiadającej zaangażowaniu danej osoby w realizację zadania, opłaty za telefon, pocztowe, czynsz, C.O. - w stosownej części, przypadającej na dane zadanie na podstawie racjonalnego wyliczenia kosztów,</w:t>
      </w:r>
      <w:r>
        <w:rPr>
          <w:rFonts w:ascii="Century Gothic" w:hAnsi="Century Gothic"/>
        </w:rPr>
        <w:t xml:space="preserve"> opłaty za przelewy bankowe </w:t>
      </w:r>
      <w:r>
        <w:rPr>
          <w:rFonts w:ascii="Century Gothic" w:hAnsi="Century Gothic"/>
          <w:b/>
        </w:rPr>
        <w:t>(opłata za utrzymanie konta bankowego nie stanowi kosztu kwalifikowanego</w:t>
      </w:r>
      <w:r>
        <w:rPr>
          <w:rFonts w:ascii="Century Gothic" w:hAnsi="Century Gothic"/>
          <w:b/>
          <w:bCs/>
        </w:rPr>
        <w:t xml:space="preserve">) </w:t>
      </w:r>
    </w:p>
    <w:p>
      <w:pPr>
        <w:pStyle w:val="ListParagraph"/>
        <w:shd w:fill="FFFFFF" w:val="clear"/>
        <w:spacing w:lineRule="auto" w:line="240"/>
        <w:ind w:left="644" w:right="0" w:hanging="0"/>
        <w:rPr/>
      </w:pPr>
      <w:r>
        <w:rPr>
          <w:rFonts w:ascii="Century Gothic" w:hAnsi="Century Gothic"/>
        </w:rPr>
        <w:t xml:space="preserve">Powyższe wydatki - </w:t>
      </w:r>
      <w:r>
        <w:rPr>
          <w:rFonts w:ascii="Century Gothic" w:hAnsi="Century Gothic"/>
          <w:b/>
        </w:rPr>
        <w:t>do wysokości 20% dotacji z tym, że wynagrodzenie dla koordynatora zadania - nie więcej niż 5% wysokości dotacji.</w:t>
      </w:r>
    </w:p>
    <w:p>
      <w:pPr>
        <w:pStyle w:val="ListParagraph"/>
        <w:numPr>
          <w:ilvl w:val="0"/>
          <w:numId w:val="11"/>
        </w:numPr>
        <w:shd w:fill="FFFFFF" w:val="clear"/>
        <w:spacing w:lineRule="auto" w:line="240"/>
        <w:rPr/>
      </w:pPr>
      <w:r>
        <w:rPr>
          <w:rFonts w:ascii="Century Gothic" w:hAnsi="Century Gothic"/>
          <w:b/>
          <w:u w:val="single"/>
        </w:rPr>
        <w:t>inne koszty</w:t>
      </w:r>
      <w:r>
        <w:rPr>
          <w:rFonts w:ascii="Century Gothic" w:hAnsi="Century Gothic"/>
        </w:rPr>
        <w:t xml:space="preserve"> niezbędne do realizacji zadania, w tym koszty promocji projektu (ulotki, materiały informacyjne, itp.) </w:t>
      </w:r>
      <w:r>
        <w:rPr>
          <w:rFonts w:ascii="Century Gothic" w:hAnsi="Century Gothic"/>
          <w:b/>
        </w:rPr>
        <w:t>w części dotyczącej zadania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nie mogą przekroczyć 10% dotacji</w:t>
      </w:r>
      <w:r>
        <w:rPr>
          <w:rFonts w:ascii="Century Gothic" w:hAnsi="Century Gothic"/>
        </w:rPr>
        <w:t>.</w:t>
      </w:r>
    </w:p>
    <w:p>
      <w:pPr>
        <w:pStyle w:val="ListParagraph"/>
        <w:numPr>
          <w:ilvl w:val="0"/>
          <w:numId w:val="9"/>
        </w:numPr>
        <w:spacing w:lineRule="auto" w:line="240"/>
        <w:rPr/>
      </w:pPr>
      <w:r>
        <w:rPr>
          <w:rFonts w:ascii="Century Gothic" w:hAnsi="Century Gothic"/>
        </w:rPr>
        <w:t xml:space="preserve">Wkład własny - wartość oferty to łączna wartość dotacji i środków własnych, na które składają się środki niefinansowe i finansowe (środki własne, środki z innych źródeł oraz wpłaty i opłaty od adresatów zadania, wkład osobowy). Podmioty składające ofertę w ramach ogłoszonego konkursu są zobowiązane do przedstawienia wkładu własnego w wysokości co najmniej 10% wartości całego zadania, w tym co najmniej 5% wkładu finansowego od wartości całego zadania. W sytuacji, gdy oferent wnosi do realizacji zadania </w:t>
      </w:r>
      <w:r>
        <w:rPr>
          <w:rFonts w:ascii="Century Gothic" w:hAnsi="Century Gothic"/>
          <w:b/>
        </w:rPr>
        <w:t>wkład osobowy</w:t>
      </w:r>
      <w:r>
        <w:rPr>
          <w:rFonts w:ascii="Century Gothic" w:hAnsi="Century Gothic"/>
        </w:rPr>
        <w:t xml:space="preserve"> w postaci pracy społecznej członka organizacji bądź wolontariusza, konieczne jest przestrzeganie następujących warunków: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kalkulacja wkładu pracy wolontariusza lub członka organizacji powinna być dokonana </w:t>
        <w:br/>
        <w:t>w oparciu o stawki rynkowe (tj. koszty, które należałoby ponieść na zatrudnienie tych osób, gdyby nie wykonywały swojej pracy w ramach wolontariatu),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zakres, sposób, liczba godzin wykonywania świadczenia muszą być określone </w:t>
        <w:br/>
        <w:t xml:space="preserve">w porozumieniu zawartym zgodnie z art. 44 ustawy o działalności pożytku publicznego </w:t>
        <w:br/>
        <w:t>i o wolontariacie;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wolontariusz lub członek organizacji powinien posiadać określone kwalifikacje</w:t>
        <w:br/>
        <w:t>i uprawnienia wymagane przy wykonywaniu danego świadczenia, jeżeli obowiązek posiadania takich kwalifikacji i spełnienia stosownych wymagań wynika z odrębnych przepisów;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jeżeli wolontariusz lub członek organizacji wykonuje świadczenie takie samo jak praca wykonywana przez wykwalifikowany personel, to kalkulacja wyceny tego świadczenia musi być dokonana według stawki obowiązującej dla tego personelu;</w:t>
      </w:r>
    </w:p>
    <w:p>
      <w:pPr>
        <w:pStyle w:val="Normal"/>
        <w:numPr>
          <w:ilvl w:val="0"/>
          <w:numId w:val="12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rozliczenie pracy społecznej członka organizacji bądź świadczeń wolontariusza odbywa się na podstawie oświadczenia ww. osoby, stwierdzającej wykonanie pracy społecznej bądź świadczenia, z podaniem zakresu, liczby godzin oraz jego wycenę. Oświadczenie potwierdza koordynator zadania lub osoba upoważniona. </w:t>
      </w:r>
    </w:p>
    <w:p>
      <w:pPr>
        <w:pStyle w:val="ListParagraph"/>
        <w:numPr>
          <w:ilvl w:val="0"/>
          <w:numId w:val="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ramach środków finansowych Gminy Miłkowice niedozwolone jest podwójne finansowanie wydatku czyli zrefundowanie całkowite lub częściowe danego wydatku dwa razy ze środków publicznych, zarówno krajowych jak i wspólnotowych.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WARUNKI I ZASADY SKŁADANIA OFERTY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Oferta powinna być złożona zgodnie z wymogami określonymi w załączniku nr 1 do rozporządzenia Przewodniczącego Komitetu do Spraw pożytku publicznego z dnia 24 października 2018 r. </w:t>
      </w:r>
      <w:r>
        <w:rPr>
          <w:rFonts w:ascii="Century Gothic" w:hAnsi="Century Gothic"/>
          <w:i/>
          <w:iCs/>
        </w:rPr>
        <w:t xml:space="preserve">w sprawie wzorów ofert i ramowych wzorów umów dotyczących realizacji zadań publicznych oraz wzorów sprawozdań z wykonania tych zadań </w:t>
      </w:r>
      <w:r>
        <w:rPr>
          <w:rFonts w:ascii="Century Gothic" w:hAnsi="Century Gothic"/>
        </w:rPr>
        <w:t>(Dz. U. z 2018 r. poz. 2057).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Oferta musi spełniać wymagania określone w art. 14 ustawy o działalności pożytku publicznego i o wolontariacie.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ofercie należy wypełnić wszystkie wymagane pola i rubryki, ewentualnie wpisać "nie dotyczy" lub w celu pozostawienia właściwej odpowiedzi dokonać odpowiednich skreśleń w przypadku zaznaczeń z gwiazdką ("*").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Wymagane jest wypełnienie w części </w:t>
      </w:r>
      <w:r>
        <w:rPr>
          <w:rFonts w:ascii="Century Gothic" w:hAnsi="Century Gothic"/>
          <w:b/>
        </w:rPr>
        <w:t>III poz. 6</w:t>
      </w:r>
      <w:r>
        <w:rPr>
          <w:rFonts w:ascii="Century Gothic" w:hAnsi="Century Gothic"/>
        </w:rPr>
        <w:t xml:space="preserve"> formularza ofertowego, gdzie należy wpisać zakładane rezultaty realizacji zadania wraz z podaniem planowanego poziomu ich osiągnięcia oraz sposobu monitorowania, o którym mowa w pkt VI ppkt 11. Rezultaty, które muszą być podane w wartości mierzalnej, uznaje się za osiągnięte przy ich realizacji na poziomie min. 70% zakładanych wskaźników opisanych w zadaniu, uwzględniając aktualizacje (np. liczba uczestników, widzów, ilość przeprowadzonych zajęć itp.).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644" w:right="0" w:hanging="0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  <w:t>Uwaga: Rezultaty wskazane w cz. III poz. 6 (tabela) formularza ofertowego muszą być spójne z opisem zakładanych rezultatów z poz. 5 formularza ofertowego.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644" w:right="0" w:hanging="0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Oferent może złożyć w konkursie </w:t>
      </w:r>
      <w:r>
        <w:rPr>
          <w:rFonts w:ascii="Century Gothic" w:hAnsi="Century Gothic"/>
          <w:b/>
          <w:bCs/>
        </w:rPr>
        <w:t xml:space="preserve">tylko jedną ofertę </w:t>
      </w:r>
      <w:r>
        <w:rPr>
          <w:rFonts w:ascii="Century Gothic" w:hAnsi="Century Gothic"/>
        </w:rPr>
        <w:t>(w przypadku złożenia większej liczby ofert, wszystkie zostaną odrzucone ze względów formalnych).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Ofertę należy:</w:t>
      </w:r>
    </w:p>
    <w:p>
      <w:pPr>
        <w:pStyle w:val="ListParagraph"/>
        <w:widowControl w:val="false"/>
        <w:numPr>
          <w:ilvl w:val="0"/>
          <w:numId w:val="14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sporządzić w języku polskim,</w:t>
      </w:r>
    </w:p>
    <w:p>
      <w:pPr>
        <w:pStyle w:val="ListParagraph"/>
        <w:widowControl w:val="false"/>
        <w:numPr>
          <w:ilvl w:val="0"/>
          <w:numId w:val="14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sporządzić w formie pisemnej pod rygorem nieważności,</w:t>
      </w:r>
    </w:p>
    <w:p>
      <w:pPr>
        <w:pStyle w:val="ListParagraph"/>
        <w:widowControl w:val="false"/>
        <w:numPr>
          <w:ilvl w:val="0"/>
          <w:numId w:val="14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sporządzić   w   sposób   umożliwiający   dopięcie   jej   jako   załącznika   do   umowy, </w:t>
      </w:r>
    </w:p>
    <w:p>
      <w:pPr>
        <w:pStyle w:val="ListParagraph"/>
        <w:widowControl w:val="false"/>
        <w:numPr>
          <w:ilvl w:val="0"/>
          <w:numId w:val="13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Do oferty obligatoryjnie należy dołączyć następujące załączniki i oświadczenia: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aktualny odpis z Krajowego Rejestru Sądowego lub innego właściwego rejestru lub ewidencji – niezależnie od tego kiedy został wydany,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wyboru innego sposobu reprezentacji podmiotów składających ofertę wspólną niż wynikający z KRS lub innego właściwego rejestru - dokument potwierdzający upoważnienie do działania w imieniu oferenta(-ów).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aktualny statut organizacji,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oświadczenie stanowiące załącznik nr 1 do ogłoszenia o konkursie,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kalkulację przewidywanych kosztów realizacji zadania z podziałem na źródła finansowania dla każdego roku osobno – zgodnie ze wzorem stanowiącym zał. nr 6 do ogłoszenia o konkursie,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umowę na prowadzenie rachunku bankowego z widocznymi danymi właściciela rachunku wskazanego w ofercie - adres oraz numer rachunku bankowego,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podmiotów składających ofertę wspólną - porozumienie między oferentami określające prawa i obowiązki zleceniodawców,</w:t>
      </w:r>
    </w:p>
    <w:p>
      <w:pPr>
        <w:pStyle w:val="ListParagraph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/>
      </w:pPr>
      <w:r>
        <w:rPr>
          <w:rFonts w:ascii="Century Gothic" w:hAnsi="Century Gothic"/>
        </w:rPr>
        <w:t>inne dokumenty istotne dla oceny oferty - np. zaświadczenie o przygotowaniu merytorycznym osób bezpośrednio zaangażowanych w realizację zadania publicznego, listy intencyjne, itp.</w:t>
      </w:r>
      <w:r>
        <w:rPr>
          <w:rFonts w:ascii="Century Gothic" w:hAnsi="Century Gothic"/>
          <w:b/>
          <w:bCs/>
        </w:rPr>
        <w:t xml:space="preserve"> 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>UWAGA WAŻNE!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Wszystkie dokumenty i oświadczenia dołączone do oferty należy składać w formie </w:t>
        <w:tab/>
        <w:t xml:space="preserve">podpisanego oryginału lub kserokopii poświadczonej za zgodność z oryginałem na </w:t>
        <w:tab/>
        <w:t>każdej stronie.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Dokumenty muszą być podpisane przez osoby upoważnione do składania </w:t>
        <w:tab/>
        <w:t>oświadczeń woli ze strony organizacji, na każdej stronie.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Podpisy osób upoważnionych muszą być zgodne ze statutem lub innym </w:t>
        <w:tab/>
        <w:t xml:space="preserve">dokumentem lub rejestrem (np. KRS) określającym sposób reprezentacji oferenta i </w:t>
        <w:tab/>
        <w:t>składania oświadczeń woli w imieniu oferenta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TERMIN I MIEJSCE SKŁADANIA OFERT</w:t>
      </w:r>
    </w:p>
    <w:p>
      <w:pPr>
        <w:pStyle w:val="ListParagraph"/>
        <w:numPr>
          <w:ilvl w:val="0"/>
          <w:numId w:val="16"/>
        </w:numPr>
        <w:spacing w:lineRule="auto" w:line="240"/>
        <w:rPr/>
      </w:pPr>
      <w:r>
        <w:rPr>
          <w:rFonts w:ascii="Century Gothic" w:hAnsi="Century Gothic"/>
        </w:rPr>
        <w:t>Ofertę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należy wypełnić i złożyć</w:t>
      </w:r>
      <w:r>
        <w:rPr>
          <w:rFonts w:ascii="Century Gothic" w:hAnsi="Century Gothic"/>
          <w:b/>
        </w:rPr>
        <w:t xml:space="preserve"> do dnia </w:t>
      </w:r>
      <w:r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stycznia</w:t>
      </w:r>
      <w:r>
        <w:rPr>
          <w:rFonts w:ascii="Century Gothic" w:hAnsi="Century Gothic"/>
          <w:b/>
        </w:rPr>
        <w:t xml:space="preserve"> 202</w:t>
      </w:r>
      <w:r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roku.</w:t>
      </w:r>
    </w:p>
    <w:p>
      <w:pPr>
        <w:pStyle w:val="ListParagraph"/>
        <w:numPr>
          <w:ilvl w:val="0"/>
          <w:numId w:val="16"/>
        </w:numPr>
        <w:spacing w:lineRule="auto" w:line="240"/>
        <w:rPr/>
      </w:pPr>
      <w:r>
        <w:rPr>
          <w:rFonts w:ascii="Century Gothic" w:hAnsi="Century Gothic"/>
          <w:bCs/>
        </w:rPr>
        <w:t xml:space="preserve">Wersję papierową oferty, podpisaną przez osoby upoważnione do reprezentowania oferenta lub oferentów należy złożyć </w:t>
      </w:r>
      <w:r>
        <w:rPr>
          <w:rFonts w:ascii="Century Gothic" w:hAnsi="Century Gothic"/>
        </w:rPr>
        <w:t xml:space="preserve">osobiście lub za pośrednictwem poczty w zaklejonych, opieczętowanych kopertach z dopiskiem „Otwarty konkurs ofert na zadania z zakresu upowszechniania kultury fizycznej i sportu w </w:t>
      </w:r>
      <w:r>
        <w:rPr>
          <w:rFonts w:ascii="Century Gothic" w:hAnsi="Century Gothic"/>
        </w:rPr>
        <w:t>2023</w:t>
      </w:r>
      <w:r>
        <w:rPr>
          <w:rFonts w:ascii="Century Gothic" w:hAnsi="Century Gothic"/>
        </w:rPr>
        <w:t xml:space="preserve"> roku w gminie Miłkowice" na adres - Urząd Gminy Miłkowice, ul. Wojska Polskiego 71, 59-222 Miłkowice.</w:t>
      </w:r>
    </w:p>
    <w:p>
      <w:pPr>
        <w:pStyle w:val="ListParagraph"/>
        <w:numPr>
          <w:ilvl w:val="0"/>
          <w:numId w:val="16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przesłania oferty drogą pocztową, o przyjęciu oferty decyduje data wpływu do siedziby Zamawiającego.</w:t>
      </w:r>
    </w:p>
    <w:p>
      <w:pPr>
        <w:pStyle w:val="ListParagraph"/>
        <w:numPr>
          <w:ilvl w:val="0"/>
          <w:numId w:val="16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Oferty złożone po wyznaczonym terminie pozostaną bez rozpatrzenia.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WÓJT GMINY MIŁKOWICE ZASTRZEGA SOBIE PRAWO DO: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Odwołania konkursu bez podania przyczyny.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Zmiany wysokości środków publicznych na realizację zadania w trakcie trwania konkursu.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Negocjowania z oferentami wysokości dotacji, terminu realizacji zadania oraz zakresu rzeczowego zadania.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Negocjowania warunków i kosztów realizacji zadania oraz dofinansowania niepełnego zakresu zadania w przyjętych ofertach.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Możliwość wyboru jednej lub wielu ofert w ramach środków finansowych przeznaczonych na realizację zadań.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Przełożenia terminu dokonania oceny formalnej i/lub rozstrzygnięcia konkursu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UZUPEŁNIENIE I AKTUALIZACJA OFERTY.</w:t>
      </w:r>
    </w:p>
    <w:p>
      <w:pPr>
        <w:pStyle w:val="ListParagraph"/>
        <w:widowControl w:val="false"/>
        <w:numPr>
          <w:ilvl w:val="0"/>
          <w:numId w:val="18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Po upływie terminu składania ofert możliwe jest pisemne uzupełnienie przez Oferentów braków formalnych w ciągu 3 dni od przekazania informacji o brakach formalnych </w:t>
      </w:r>
      <w:r>
        <w:rPr>
          <w:rFonts w:ascii="Century Gothic" w:hAnsi="Century Gothic"/>
          <w:b/>
        </w:rPr>
        <w:t>(informacje przekazywane będą pocztą elektroniczną)</w:t>
      </w:r>
      <w:r>
        <w:rPr>
          <w:rFonts w:ascii="Century Gothic" w:hAnsi="Century Gothic"/>
        </w:rPr>
        <w:t xml:space="preserve">. </w:t>
      </w:r>
    </w:p>
    <w:p>
      <w:pPr>
        <w:pStyle w:val="ListParagraph"/>
        <w:widowControl w:val="false"/>
        <w:numPr>
          <w:ilvl w:val="0"/>
          <w:numId w:val="18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Nie uzupełnienie braków formalnych przez Oferenta w wyznaczonym terminie powoduje pozostawienie oferty bez rozpatrzenia.</w:t>
      </w:r>
    </w:p>
    <w:p>
      <w:pPr>
        <w:pStyle w:val="ListParagraph"/>
        <w:widowControl w:val="false"/>
        <w:numPr>
          <w:ilvl w:val="0"/>
          <w:numId w:val="18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Złożenie oferty nie jest równoznaczne z zapewnieniem przyznania dotacji.</w:t>
      </w:r>
    </w:p>
    <w:p>
      <w:pPr>
        <w:pStyle w:val="ListParagraph"/>
        <w:widowControl w:val="false"/>
        <w:numPr>
          <w:ilvl w:val="0"/>
          <w:numId w:val="18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>Złożone oferty podlegają ocenie formalnej i merytorycznej.</w:t>
      </w:r>
      <w:r>
        <w:rPr>
          <w:rFonts w:ascii="Century Gothic" w:hAnsi="Century Gothic"/>
          <w:b/>
          <w:bCs/>
        </w:rPr>
        <w:t xml:space="preserve"> </w:t>
      </w:r>
    </w:p>
    <w:p>
      <w:pPr>
        <w:pStyle w:val="ListParagraph"/>
        <w:widowControl w:val="false"/>
        <w:numPr>
          <w:ilvl w:val="0"/>
          <w:numId w:val="18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  <w:bCs/>
        </w:rPr>
        <w:t xml:space="preserve">Osoba wskazana do kontaktu pod względem formalnym </w:t>
      </w:r>
      <w:r>
        <w:rPr>
          <w:rFonts w:ascii="Century Gothic" w:hAnsi="Century Gothic"/>
        </w:rPr>
        <w:t xml:space="preserve">z oferentami: </w:t>
      </w:r>
      <w:r>
        <w:rPr>
          <w:rFonts w:ascii="Century Gothic" w:hAnsi="Century Gothic"/>
        </w:rPr>
        <w:t>Karolina Dwojak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</w:rPr>
        <w:t xml:space="preserve">e-mail: </w:t>
      </w:r>
      <w:r>
        <w:rPr>
          <w:rFonts w:ascii="Century Gothic" w:hAnsi="Century Gothic"/>
        </w:rPr>
        <w:t>or</w:t>
      </w:r>
      <w:hyperlink r:id="rId2">
        <w:r>
          <w:rPr>
            <w:rStyle w:val="ListLabel71"/>
            <w:rFonts w:ascii="Century Gothic" w:hAnsi="Century Gothic"/>
            <w:u w:val="single"/>
          </w:rPr>
          <w:t>@ugmilkowice.net</w:t>
        </w:r>
      </w:hyperlink>
      <w:r>
        <w:rPr>
          <w:rFonts w:ascii="Century Gothic" w:hAnsi="Century Gothic"/>
        </w:rPr>
        <w:t>, tel. 76 8871 212 wew. 44.  pokój 24 (II piętro) Urzędu Gminy Miłkowice.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ZASADY, TRYB I KRYTERIA ROZPATRYWANIA OFERT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Oferty będą rozpatrywane przez Komisję Konkursową powołaną przez Wójta Gminy Miłkowice.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Przy ocenie ofert brane będą pod uwagę kryteria:</w:t>
      </w:r>
    </w:p>
    <w:p>
      <w:pPr>
        <w:pStyle w:val="ListParagraph"/>
        <w:numPr>
          <w:ilvl w:val="0"/>
          <w:numId w:val="20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formalne - załącznik nr 2 do ogłoszenia,</w:t>
      </w:r>
    </w:p>
    <w:p>
      <w:pPr>
        <w:pStyle w:val="ListParagraph"/>
        <w:numPr>
          <w:ilvl w:val="0"/>
          <w:numId w:val="20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merytoryczne - załącznik nr 3 do ogłoszenia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Spełnienie kryteriów oceny formalnej dopuszcza ofertę do oceny merytorycznej.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Oceny merytorycznej ofert dokonuje komisja konkursowa powołana przez Wójta Gminy Miłkowice.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Wyboru oferty dokonuje Wójt Gminy Miłkowice po zapoznaniu się z opinią Komisji Konkursowej.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TERMIN WYBORU OFERT</w:t>
      </w:r>
    </w:p>
    <w:p>
      <w:pPr>
        <w:pStyle w:val="ListParagraph"/>
        <w:shd w:fill="FFFFFF" w:val="clear"/>
        <w:spacing w:lineRule="auto" w:line="240"/>
        <w:rPr/>
      </w:pPr>
      <w:r>
        <w:rPr>
          <w:rFonts w:ascii="Century Gothic" w:hAnsi="Century Gothic"/>
          <w:u w:val="single"/>
        </w:rPr>
        <w:t xml:space="preserve">Informacja o wynikach z  weryfikacji formalnej do dnia </w:t>
      </w:r>
      <w:r>
        <w:rPr>
          <w:rFonts w:ascii="Century Gothic" w:hAnsi="Century Gothic"/>
          <w:b/>
          <w:bCs/>
          <w:u w:val="single"/>
        </w:rPr>
        <w:t>12</w:t>
      </w:r>
      <w:r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  <w:b/>
          <w:bCs/>
          <w:u w:val="single"/>
        </w:rPr>
        <w:t>stycznia</w:t>
      </w:r>
      <w:r>
        <w:rPr>
          <w:rFonts w:ascii="Century Gothic" w:hAnsi="Century Gothic"/>
          <w:b/>
          <w:bCs/>
          <w:u w:val="single"/>
        </w:rPr>
        <w:t xml:space="preserve"> 202</w:t>
      </w:r>
      <w:r>
        <w:rPr>
          <w:rFonts w:ascii="Century Gothic" w:hAnsi="Century Gothic"/>
          <w:b/>
          <w:bCs/>
          <w:u w:val="single"/>
        </w:rPr>
        <w:t>3</w:t>
      </w:r>
      <w:r>
        <w:rPr>
          <w:rFonts w:ascii="Century Gothic" w:hAnsi="Century Gothic"/>
          <w:b/>
          <w:bCs/>
          <w:u w:val="single"/>
        </w:rPr>
        <w:t xml:space="preserve"> roku </w:t>
      </w:r>
      <w:r>
        <w:rPr>
          <w:rFonts w:ascii="Century Gothic" w:hAnsi="Century Gothic"/>
        </w:rPr>
        <w:t>zostanie umieszczona:</w:t>
      </w:r>
    </w:p>
    <w:p>
      <w:pPr>
        <w:pStyle w:val="Normal"/>
        <w:widowControl w:val="false"/>
        <w:numPr>
          <w:ilvl w:val="0"/>
          <w:numId w:val="21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 Biuletynie Informacji Publicznej http://milkowice.biuletyn.net</w:t>
      </w:r>
    </w:p>
    <w:p>
      <w:pPr>
        <w:pStyle w:val="Normal"/>
        <w:widowControl w:val="false"/>
        <w:numPr>
          <w:ilvl w:val="0"/>
          <w:numId w:val="21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stronie internetowej www.milkowice.net,</w:t>
      </w:r>
    </w:p>
    <w:p>
      <w:pPr>
        <w:pStyle w:val="Normal"/>
        <w:widowControl w:val="false"/>
        <w:numPr>
          <w:ilvl w:val="0"/>
          <w:numId w:val="21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tablicy ogłoszeń Urzędu Gminy Miłkowice (II piętro).</w:t>
      </w:r>
    </w:p>
    <w:p>
      <w:pPr>
        <w:pStyle w:val="Normal"/>
        <w:shd w:fill="FFFFFF" w:val="clear"/>
        <w:spacing w:lineRule="auto" w:line="240"/>
        <w:rPr/>
      </w:pP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 xml:space="preserve">z oceny merytorycznej do dnia </w:t>
      </w:r>
      <w:r>
        <w:rPr>
          <w:rFonts w:ascii="Century Gothic" w:hAnsi="Century Gothic"/>
          <w:b/>
          <w:bCs/>
          <w:u w:val="single"/>
        </w:rPr>
        <w:t>1</w:t>
      </w:r>
      <w:r>
        <w:rPr>
          <w:rFonts w:ascii="Century Gothic" w:hAnsi="Century Gothic"/>
          <w:b/>
          <w:bCs/>
          <w:u w:val="single"/>
        </w:rPr>
        <w:t>9</w:t>
      </w:r>
      <w:r>
        <w:rPr>
          <w:rFonts w:ascii="Century Gothic" w:hAnsi="Century Gothic"/>
          <w:b/>
          <w:bCs/>
          <w:u w:val="single"/>
        </w:rPr>
        <w:t xml:space="preserve"> stycznia 202</w:t>
      </w:r>
      <w:r>
        <w:rPr>
          <w:rFonts w:ascii="Century Gothic" w:hAnsi="Century Gothic"/>
          <w:b/>
          <w:bCs/>
          <w:u w:val="single"/>
        </w:rPr>
        <w:t>3</w:t>
      </w:r>
      <w:r>
        <w:rPr>
          <w:rFonts w:ascii="Century Gothic" w:hAnsi="Century Gothic"/>
          <w:b/>
          <w:bCs/>
          <w:u w:val="single"/>
        </w:rPr>
        <w:t xml:space="preserve"> roku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ab/>
        <w:t>zostanie umieszczona:</w:t>
      </w:r>
    </w:p>
    <w:p>
      <w:pPr>
        <w:pStyle w:val="Normal"/>
        <w:widowControl w:val="false"/>
        <w:numPr>
          <w:ilvl w:val="0"/>
          <w:numId w:val="22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 Biuletynie Informacji Publicznej http://milkowice.biuletyn.net</w:t>
      </w:r>
    </w:p>
    <w:p>
      <w:pPr>
        <w:pStyle w:val="Normal"/>
        <w:widowControl w:val="false"/>
        <w:numPr>
          <w:ilvl w:val="0"/>
          <w:numId w:val="22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stronie internetowej www.milkowice.net,</w:t>
      </w:r>
    </w:p>
    <w:p>
      <w:pPr>
        <w:pStyle w:val="Normal"/>
        <w:widowControl w:val="false"/>
        <w:numPr>
          <w:ilvl w:val="0"/>
          <w:numId w:val="22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tablicy ogłoszeń Urzędu Gminy Miłkowice (II piętro).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927" w:right="0" w:hanging="0"/>
        <w:jc w:val="lef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927" w:right="0" w:hanging="0"/>
        <w:jc w:val="left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Oferty wraz z dokumentami nie będą zwracane oferentowi.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PRZETWARZANIE DANYCH OSOBOWYCH BENEFICJENTÓW ORAZ OSÓB ZAANGAZOWANYCH W REALIZACJĘ PROJEKTÓW.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Klauzula informacyjna dot. RODO jest załącznikiem nr 4 do ogłoszenia.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POSTANOWIENIA KOŃCOWE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color w:val="000000"/>
        </w:rPr>
        <w:t>Przed podpisaniem umowy oferent zobowiązany jest dostarczyć: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/>
      </w:pPr>
      <w:r>
        <w:rPr>
          <w:rFonts w:cs="Arial" w:ascii="Century Gothic" w:hAnsi="Century Gothic"/>
        </w:rPr>
        <w:t xml:space="preserve">zaktualizowaną kalkulację przewidywanych kosztów realizacji zadania (zgodnie ze wzorem z oferty) </w:t>
      </w:r>
      <w:r>
        <w:rPr>
          <w:rFonts w:cs="Calibri" w:ascii="Century Gothic" w:hAnsi="Century Gothic"/>
        </w:rPr>
        <w:t>– w przypadku otrzymania dotacji niższej od wnioskowanej,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>
          <w:rFonts w:ascii="Century Gothic" w:hAnsi="Century Gothic" w:cs="Calibri"/>
        </w:rPr>
      </w:pPr>
      <w:r>
        <w:rPr>
          <w:rFonts w:cs="Calibri" w:ascii="Century Gothic" w:hAnsi="Century Gothic"/>
        </w:rPr>
        <w:t>zaktualizowany harmonogram realizacji zadania – w przypadku konieczności dokonania zmian,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>
          <w:rFonts w:ascii="Century Gothic" w:hAnsi="Century Gothic" w:cs="Calibri"/>
        </w:rPr>
      </w:pPr>
      <w:r>
        <w:rPr>
          <w:rFonts w:cs="Calibri" w:ascii="Century Gothic" w:hAnsi="Century Gothic"/>
        </w:rPr>
        <w:t>zaktualizowany opis poszczególnych działań – w przypadku konieczności dokonania zmian.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sz w:val="28"/>
        <w:b/>
        <w:szCs w:val="24"/>
        <w:rFonts w:ascii="Century Gothic" w:hAnsi="Century Gothic"/>
      </w:rPr>
    </w:lvl>
    <w:lvl w:ilvl="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entury Gothic" w:hAnsi="Century Gothi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entury Gothic" w:hAnsi="Century Gothi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644" w:hanging="360"/>
      </w:pPr>
      <w:rPr>
        <w:b w:val="false"/>
        <w:rFonts w:ascii="Century Gothic" w:hAnsi="Century Gothic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"/>
      <w:lvlJc w:val="left"/>
      <w:pPr>
        <w:ind w:left="644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lvl w:ilvl="0">
      <w:start w:val="1"/>
      <w:numFmt w:val="decimal"/>
      <w:lvlText w:val="%1"/>
      <w:lvlJc w:val="left"/>
      <w:pPr>
        <w:ind w:left="1069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lvl w:ilvl="0">
      <w:start w:val="1"/>
      <w:numFmt w:val="decimal"/>
      <w:lvlText w:val="%1"/>
      <w:lvlJc w:val="left"/>
      <w:pPr>
        <w:ind w:left="1069" w:hanging="360"/>
      </w:pPr>
      <w:rPr>
        <w:sz w:val="24"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decimal"/>
      <w:lvlText w:val="%1"/>
      <w:lvlJc w:val="left"/>
      <w:pPr>
        <w:ind w:left="1069" w:hanging="360"/>
      </w:pPr>
      <w:rPr>
        <w:sz w:val="24"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lvl w:ilvl="0">
      <w:start w:val="1"/>
      <w:numFmt w:val="decimal"/>
      <w:lvlText w:val="%1"/>
      <w:lvlJc w:val="left"/>
      <w:pPr>
        <w:ind w:left="1069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/>
      <w:b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4">
    <w:name w:val="ListLabel 24"/>
    <w:qFormat/>
    <w:rPr>
      <w:rFonts w:ascii="Century Gothic" w:hAnsi="Century Gothic"/>
      <w:b/>
      <w:sz w:val="28"/>
      <w:szCs w:val="24"/>
    </w:rPr>
  </w:style>
  <w:style w:type="character" w:styleId="ListLabel25">
    <w:name w:val="ListLabel 25"/>
    <w:qFormat/>
    <w:rPr>
      <w:rFonts w:eastAsia="Times New Roman" w:cs="Times New Roman"/>
      <w:color w:val="auto"/>
    </w:rPr>
  </w:style>
  <w:style w:type="character" w:styleId="ListLabel4">
    <w:name w:val="ListLabel 4"/>
    <w:qFormat/>
    <w:rPr>
      <w:rFonts w:ascii="Century Gothic" w:hAnsi="Century Gothic"/>
      <w:sz w:val="24"/>
      <w:szCs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Century Gothic" w:hAnsi="Century Gothic"/>
      <w:sz w:val="24"/>
      <w:szCs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Century Gothic" w:hAnsi="Century Gothic"/>
      <w:b/>
      <w:sz w:val="24"/>
      <w:szCs w:val="24"/>
    </w:rPr>
  </w:style>
  <w:style w:type="character" w:styleId="ListLabel30">
    <w:name w:val="ListLabel 30"/>
    <w:qFormat/>
    <w:rPr>
      <w:rFonts w:ascii="Century Gothic" w:hAnsi="Century Gothic"/>
      <w:b/>
    </w:rPr>
  </w:style>
  <w:style w:type="character" w:styleId="ListLabel31">
    <w:name w:val="ListLabel 31"/>
    <w:qFormat/>
    <w:rPr>
      <w:rFonts w:ascii="Century Gothic" w:hAnsi="Century Gothic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50">
    <w:name w:val="ListLabel 50"/>
    <w:qFormat/>
    <w:rPr>
      <w:rFonts w:ascii="Century Gothic" w:hAnsi="Century Gothic"/>
      <w:b/>
      <w:sz w:val="24"/>
      <w:szCs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35">
    <w:name w:val="ListLabel 35"/>
    <w:qFormat/>
    <w:rPr>
      <w:rFonts w:ascii="Century Gothic" w:hAnsi="Century Gothic"/>
      <w:b/>
      <w:sz w:val="24"/>
      <w:szCs w:val="24"/>
    </w:rPr>
  </w:style>
  <w:style w:type="character" w:styleId="ListLabel38">
    <w:name w:val="ListLabel 38"/>
    <w:qFormat/>
    <w:rPr>
      <w:rFonts w:ascii="Century Gothic" w:hAnsi="Century Gothic"/>
      <w:b/>
      <w:sz w:val="24"/>
      <w:szCs w:val="24"/>
    </w:rPr>
  </w:style>
  <w:style w:type="character" w:styleId="ListLabel23">
    <w:name w:val="ListLabel 23"/>
    <w:qFormat/>
    <w:rPr>
      <w:rFonts w:ascii="Century Gothic" w:hAnsi="Century Gothic"/>
      <w:sz w:val="24"/>
      <w:szCs w:val="24"/>
    </w:rPr>
  </w:style>
  <w:style w:type="character" w:styleId="ListLabel39">
    <w:name w:val="ListLabel 39"/>
    <w:qFormat/>
    <w:rPr>
      <w:rFonts w:ascii="Century Gothic" w:hAnsi="Century Gothic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ListLabel40">
    <w:name w:val="ListLabel 40"/>
    <w:qFormat/>
    <w:rPr>
      <w:rFonts w:ascii="Century Gothic" w:hAnsi="Century Gothic"/>
      <w:b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wa.stasikowska@um.wro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10</Pages>
  <Words>3011</Words>
  <Characters>19421</Characters>
  <CharactersWithSpaces>22198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2022-12-12T10:05:39Z</dcterms:created>
  <dc:creator/>
  <dc:description/>
  <dc:language>pl-PL</dc:language>
  <cp:lastModifiedBy/>
  <dcterms:modified xsi:type="dcterms:W3CDTF">2022-12-12T10:08:03Z</dcterms:modified>
  <cp:revision>1</cp:revision>
  <dc:subject/>
  <dc:title/>
</cp:coreProperties>
</file>